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C52667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B545BC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545BC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B545BC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B545BC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7524A0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524A0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295631" w:rsidRPr="00295631" w:rsidRDefault="00295631" w:rsidP="00295631">
      <w:pPr>
        <w:tabs>
          <w:tab w:val="left" w:pos="1134"/>
        </w:tabs>
        <w:spacing w:before="120" w:after="120" w:line="240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cs-CZ"/>
        </w:rPr>
      </w:pPr>
      <w:r w:rsidRPr="00295631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Stavba: „</w:t>
      </w:r>
      <w:r w:rsidRPr="00295631">
        <w:rPr>
          <w:rFonts w:ascii="Arial" w:hAnsi="Arial" w:cs="Arial"/>
          <w:b/>
          <w:sz w:val="20"/>
          <w:szCs w:val="20"/>
          <w:u w:val="single"/>
        </w:rPr>
        <w:t>II/408 Slavíkovice průtah</w:t>
      </w:r>
      <w:r w:rsidRPr="00295631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“</w:t>
      </w:r>
    </w:p>
    <w:p w:rsidR="00295631" w:rsidRPr="00295631" w:rsidRDefault="00295631" w:rsidP="00295631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631">
        <w:rPr>
          <w:rFonts w:ascii="Arial" w:eastAsia="Times New Roman" w:hAnsi="Arial" w:cs="Arial"/>
          <w:sz w:val="20"/>
          <w:szCs w:val="20"/>
          <w:lang w:eastAsia="cs-CZ"/>
        </w:rPr>
        <w:t xml:space="preserve">Předmětem stavby je oprava povrchu </w:t>
      </w:r>
      <w:r w:rsidRPr="00295631">
        <w:rPr>
          <w:rFonts w:ascii="Arial" w:hAnsi="Arial" w:cs="Arial"/>
          <w:sz w:val="20"/>
          <w:szCs w:val="20"/>
        </w:rPr>
        <w:t>silnice II/408 v úseku od km 30,540 po km 31,600, bude provedeno odfrézování stávajících asfaltových hutněných vrstev a pak provedena ložná vrstva z ACL16+ v tloušťce 50 mm a obrusná vrstva ACO 11+ tloušťky 50 mm, vozovka bude mít stávající niveletu. Dále bude seříznuta a obnovena nezpevněná krajnice. Opravená vozovka zachová stávající podélné sklony. Stávající šířkové uspořádání bude zachováno. Oprava silnice bude respektovat stávající hospodářské sjezdy.</w:t>
      </w:r>
    </w:p>
    <w:p w:rsidR="00295631" w:rsidRPr="00295631" w:rsidRDefault="00295631" w:rsidP="00295631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631" w:rsidRPr="00295631" w:rsidRDefault="00295631" w:rsidP="00295631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631" w:rsidRPr="00295631" w:rsidRDefault="00295631" w:rsidP="00295631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295631">
        <w:rPr>
          <w:rFonts w:ascii="Arial" w:hAnsi="Arial" w:cs="Arial"/>
          <w:b/>
          <w:i/>
          <w:sz w:val="20"/>
          <w:szCs w:val="20"/>
        </w:rPr>
        <w:t>Technické podmínky:</w:t>
      </w:r>
    </w:p>
    <w:p w:rsidR="00295631" w:rsidRPr="00295631" w:rsidRDefault="00295631" w:rsidP="00295631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631" w:rsidRPr="00295631" w:rsidRDefault="00295631" w:rsidP="00295631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631">
        <w:rPr>
          <w:rFonts w:ascii="Arial" w:hAnsi="Arial" w:cs="Arial"/>
          <w:sz w:val="20"/>
          <w:szCs w:val="20"/>
        </w:rPr>
        <w:t>Stavba je rozdělena do stavebních objektů:</w:t>
      </w:r>
    </w:p>
    <w:p w:rsidR="00295631" w:rsidRPr="00295631" w:rsidRDefault="00295631" w:rsidP="00295631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631" w:rsidRPr="00295631" w:rsidRDefault="00295631" w:rsidP="00295631">
      <w:pPr>
        <w:pStyle w:val="Odstavecseseznamem"/>
        <w:numPr>
          <w:ilvl w:val="0"/>
          <w:numId w:val="21"/>
        </w:num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631">
        <w:rPr>
          <w:rFonts w:ascii="Arial" w:hAnsi="Arial" w:cs="Arial"/>
          <w:sz w:val="20"/>
          <w:szCs w:val="20"/>
        </w:rPr>
        <w:t>SO 100 – Komunikace</w:t>
      </w:r>
    </w:p>
    <w:p w:rsidR="00295631" w:rsidRPr="00295631" w:rsidRDefault="00295631" w:rsidP="00295631">
      <w:pPr>
        <w:pStyle w:val="Odstavecseseznamem"/>
        <w:numPr>
          <w:ilvl w:val="0"/>
          <w:numId w:val="21"/>
        </w:num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631">
        <w:rPr>
          <w:rFonts w:ascii="Arial" w:hAnsi="Arial" w:cs="Arial"/>
          <w:sz w:val="20"/>
          <w:szCs w:val="20"/>
        </w:rPr>
        <w:t>SO 800 – Ostatní a vedlejší náklady</w:t>
      </w:r>
    </w:p>
    <w:p w:rsidR="00295631" w:rsidRPr="00295631" w:rsidRDefault="00295631" w:rsidP="00295631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631" w:rsidRPr="00295631" w:rsidRDefault="00295631" w:rsidP="00295631">
      <w:pPr>
        <w:pStyle w:val="Default"/>
        <w:rPr>
          <w:sz w:val="20"/>
          <w:szCs w:val="20"/>
        </w:rPr>
      </w:pPr>
    </w:p>
    <w:p w:rsidR="00295631" w:rsidRPr="00295631" w:rsidRDefault="00295631" w:rsidP="00295631">
      <w:pPr>
        <w:pStyle w:val="Default"/>
        <w:rPr>
          <w:b/>
          <w:sz w:val="20"/>
          <w:szCs w:val="20"/>
        </w:rPr>
      </w:pPr>
      <w:r w:rsidRPr="00295631">
        <w:rPr>
          <w:b/>
          <w:sz w:val="20"/>
          <w:szCs w:val="20"/>
        </w:rPr>
        <w:t>SO 100 –  Komunikace</w:t>
      </w:r>
    </w:p>
    <w:p w:rsidR="00295631" w:rsidRPr="00295631" w:rsidRDefault="00295631" w:rsidP="00295631">
      <w:pPr>
        <w:tabs>
          <w:tab w:val="left" w:pos="6237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95631">
        <w:rPr>
          <w:rFonts w:ascii="Arial" w:hAnsi="Arial" w:cs="Arial"/>
          <w:b/>
          <w:sz w:val="20"/>
          <w:szCs w:val="20"/>
        </w:rPr>
        <w:t>Výškové umístění zpevněných ploch:</w:t>
      </w:r>
    </w:p>
    <w:p w:rsidR="00295631" w:rsidRPr="00295631" w:rsidRDefault="00295631" w:rsidP="00295631">
      <w:pPr>
        <w:tabs>
          <w:tab w:val="left" w:pos="623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5631">
        <w:rPr>
          <w:rFonts w:ascii="Arial" w:hAnsi="Arial" w:cs="Arial"/>
          <w:sz w:val="20"/>
          <w:szCs w:val="20"/>
        </w:rPr>
        <w:t>Vozovka je navržena v celém úseku 30,540  - km 31,600 v nenavýšené niveletě. Bude provedeno odfrézování vrstvy ACO a ACL v tloušťce 100 mm a tato odfrézovaná vrstva bude odvezena na skládku KSÚSV. Nově bude provedena ložná vrstva ACL 16+ v tloušťce 50 mm na spojovací postřik z emulze. Obrusná vrstva z ACO 11+ v tloušťce 50 mm bude provedena na spojovací postřik z emulze. Nezpevněná krajnice bude provedena v šířce 500 mm, bude obnoven stávající stav, ze štěrkodrti v tloušťce 100 mm. Sjezdy, všechny stávající jsou zpevněné – většinou z AHV, nebudou upravovány, bude pouze ošetřena připojovací spára proříznutím a zalitím asfaltem.</w:t>
      </w:r>
    </w:p>
    <w:p w:rsidR="00295631" w:rsidRPr="00295631" w:rsidRDefault="00295631" w:rsidP="00295631">
      <w:pPr>
        <w:tabs>
          <w:tab w:val="left" w:pos="623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sz w:val="20"/>
          <w:szCs w:val="20"/>
          <w:lang w:eastAsia="cs-CZ"/>
        </w:rPr>
        <w:t>Výškové vedení komunikací je  nenavýšené a zachovává stávající podélné sklony. Komunikace je navržena ve střechovitém příčném sklonu 2,5 %.</w:t>
      </w:r>
    </w:p>
    <w:p w:rsidR="00295631" w:rsidRPr="00295631" w:rsidRDefault="00295631" w:rsidP="00295631">
      <w:pPr>
        <w:tabs>
          <w:tab w:val="left" w:pos="623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95631" w:rsidRPr="00295631" w:rsidRDefault="00295631" w:rsidP="00295631">
      <w:pPr>
        <w:tabs>
          <w:tab w:val="left" w:pos="6237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95631">
        <w:rPr>
          <w:rFonts w:ascii="Arial" w:hAnsi="Arial" w:cs="Arial"/>
          <w:b/>
          <w:sz w:val="20"/>
          <w:szCs w:val="20"/>
        </w:rPr>
        <w:t>Šířkové uspořádání:</w:t>
      </w:r>
    </w:p>
    <w:p w:rsidR="00295631" w:rsidRPr="00295631" w:rsidRDefault="00295631" w:rsidP="00295631">
      <w:pPr>
        <w:tabs>
          <w:tab w:val="left" w:pos="623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sz w:val="20"/>
          <w:szCs w:val="20"/>
          <w:lang w:eastAsia="cs-CZ"/>
        </w:rPr>
        <w:t>Nový kryt je navržen ve stávající šířce 7,0 – 7,2 m. Silnice je navržená jako obousměrná komunikace.</w:t>
      </w:r>
    </w:p>
    <w:p w:rsidR="00295631" w:rsidRPr="00295631" w:rsidRDefault="00295631" w:rsidP="00295631">
      <w:pPr>
        <w:pStyle w:val="Default"/>
        <w:rPr>
          <w:b/>
          <w:sz w:val="20"/>
          <w:szCs w:val="20"/>
        </w:rPr>
      </w:pPr>
    </w:p>
    <w:p w:rsidR="00295631" w:rsidRPr="00295631" w:rsidRDefault="00295631" w:rsidP="00295631">
      <w:pPr>
        <w:pStyle w:val="Default"/>
        <w:rPr>
          <w:b/>
          <w:sz w:val="20"/>
          <w:szCs w:val="20"/>
        </w:rPr>
      </w:pPr>
      <w:r w:rsidRPr="00295631">
        <w:rPr>
          <w:b/>
          <w:sz w:val="20"/>
          <w:szCs w:val="20"/>
        </w:rPr>
        <w:t xml:space="preserve">Konstrukce vozovky: 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t>Asfaltový beton pro obrusné vrstvy (50/70)</w:t>
      </w:r>
      <w:r w:rsidRPr="00295631">
        <w:rPr>
          <w:sz w:val="20"/>
          <w:szCs w:val="20"/>
        </w:rPr>
        <w:tab/>
        <w:t xml:space="preserve">ACO 11+ </w:t>
      </w:r>
      <w:r w:rsidRPr="00295631">
        <w:rPr>
          <w:sz w:val="20"/>
          <w:szCs w:val="20"/>
        </w:rPr>
        <w:tab/>
        <w:t xml:space="preserve">50 mm </w:t>
      </w:r>
      <w:r w:rsidRPr="00295631">
        <w:rPr>
          <w:sz w:val="20"/>
          <w:szCs w:val="20"/>
        </w:rPr>
        <w:tab/>
        <w:t xml:space="preserve">ČSN EN 13108-1 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t>Spojovací postřik z asf. emulze</w:t>
      </w:r>
      <w:r w:rsidRPr="00295631">
        <w:rPr>
          <w:sz w:val="20"/>
          <w:szCs w:val="20"/>
        </w:rPr>
        <w:tab/>
        <w:t>PS-E</w:t>
      </w:r>
      <w:r w:rsidRPr="00295631">
        <w:rPr>
          <w:sz w:val="20"/>
          <w:szCs w:val="20"/>
        </w:rPr>
        <w:tab/>
        <w:t xml:space="preserve">0,5 kg/m2 </w:t>
      </w:r>
      <w:r w:rsidRPr="00295631">
        <w:rPr>
          <w:sz w:val="20"/>
          <w:szCs w:val="20"/>
        </w:rPr>
        <w:tab/>
        <w:t xml:space="preserve">ČSN 73 6129 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t>Asfaltový beton pro ložné vrstvy (50/70)</w:t>
      </w:r>
      <w:r w:rsidRPr="00295631">
        <w:rPr>
          <w:sz w:val="20"/>
          <w:szCs w:val="20"/>
        </w:rPr>
        <w:tab/>
        <w:t xml:space="preserve">ACL 16+ </w:t>
      </w:r>
      <w:r w:rsidRPr="00295631">
        <w:rPr>
          <w:sz w:val="20"/>
          <w:szCs w:val="20"/>
        </w:rPr>
        <w:tab/>
        <w:t xml:space="preserve">50 mm </w:t>
      </w:r>
      <w:r w:rsidRPr="00295631">
        <w:rPr>
          <w:sz w:val="20"/>
          <w:szCs w:val="20"/>
        </w:rPr>
        <w:tab/>
        <w:t xml:space="preserve">ČSN EN 13108-1 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t>Spojovací postřik z asf. emulze</w:t>
      </w:r>
      <w:r w:rsidRPr="00295631">
        <w:rPr>
          <w:sz w:val="20"/>
          <w:szCs w:val="20"/>
        </w:rPr>
        <w:tab/>
        <w:t>PS-E</w:t>
      </w:r>
      <w:r w:rsidRPr="00295631">
        <w:rPr>
          <w:sz w:val="20"/>
          <w:szCs w:val="20"/>
        </w:rPr>
        <w:tab/>
        <w:t xml:space="preserve">0,5 kg/m2 </w:t>
      </w:r>
      <w:r w:rsidRPr="00295631">
        <w:rPr>
          <w:sz w:val="20"/>
          <w:szCs w:val="20"/>
        </w:rPr>
        <w:tab/>
        <w:t xml:space="preserve">ČSN 73 6129 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  <w:u w:val="single"/>
        </w:rPr>
      </w:pPr>
      <w:r w:rsidRPr="00295631">
        <w:rPr>
          <w:sz w:val="20"/>
          <w:szCs w:val="20"/>
          <w:u w:val="single"/>
        </w:rPr>
        <w:t xml:space="preserve">Odfrézování stávající obrusné vrstvy na niveletu </w:t>
      </w:r>
      <w:r w:rsidRPr="00295631">
        <w:rPr>
          <w:sz w:val="20"/>
          <w:szCs w:val="20"/>
          <w:u w:val="single"/>
        </w:rPr>
        <w:tab/>
      </w:r>
      <w:r w:rsidRPr="00295631">
        <w:rPr>
          <w:sz w:val="20"/>
          <w:szCs w:val="20"/>
          <w:u w:val="single"/>
        </w:rPr>
        <w:tab/>
        <w:t xml:space="preserve">- 100,0 mm </w:t>
      </w:r>
      <w:r w:rsidRPr="00295631">
        <w:rPr>
          <w:sz w:val="20"/>
          <w:szCs w:val="20"/>
          <w:u w:val="single"/>
        </w:rPr>
        <w:tab/>
        <w:t xml:space="preserve"> </w:t>
      </w:r>
      <w:r w:rsidRPr="00295631">
        <w:rPr>
          <w:sz w:val="20"/>
          <w:szCs w:val="20"/>
          <w:u w:val="single"/>
        </w:rPr>
        <w:tab/>
      </w:r>
      <w:r w:rsidRPr="00295631">
        <w:rPr>
          <w:sz w:val="20"/>
          <w:szCs w:val="20"/>
          <w:u w:val="single"/>
        </w:rPr>
        <w:tab/>
      </w:r>
    </w:p>
    <w:p w:rsidR="00295631" w:rsidRPr="00295631" w:rsidRDefault="00295631" w:rsidP="00295631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95631">
        <w:rPr>
          <w:rFonts w:ascii="Arial" w:hAnsi="Arial" w:cs="Arial"/>
          <w:b/>
          <w:bCs/>
          <w:sz w:val="20"/>
          <w:szCs w:val="20"/>
        </w:rPr>
        <w:t xml:space="preserve">CELKEM </w:t>
      </w:r>
      <w:r w:rsidRPr="00295631">
        <w:rPr>
          <w:rFonts w:ascii="Arial" w:hAnsi="Arial" w:cs="Arial"/>
          <w:b/>
          <w:bCs/>
          <w:sz w:val="20"/>
          <w:szCs w:val="20"/>
        </w:rPr>
        <w:tab/>
        <w:t xml:space="preserve">                                                                                 100,0 mm</w:t>
      </w:r>
    </w:p>
    <w:p w:rsidR="00295631" w:rsidRPr="00295631" w:rsidRDefault="00295631" w:rsidP="00295631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95631" w:rsidRPr="00295631" w:rsidRDefault="00295631" w:rsidP="00295631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95631">
        <w:rPr>
          <w:rFonts w:ascii="Arial" w:hAnsi="Arial" w:cs="Arial"/>
          <w:b/>
          <w:bCs/>
          <w:sz w:val="20"/>
          <w:szCs w:val="20"/>
        </w:rPr>
        <w:t>Sanace podkladních vrstev:</w:t>
      </w:r>
    </w:p>
    <w:p w:rsidR="00295631" w:rsidRPr="00295631" w:rsidRDefault="00295631" w:rsidP="00295631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95631">
        <w:rPr>
          <w:rFonts w:ascii="Arial" w:hAnsi="Arial" w:cs="Arial"/>
          <w:bCs/>
          <w:sz w:val="20"/>
          <w:szCs w:val="20"/>
        </w:rPr>
        <w:t xml:space="preserve"> Dle rozhodnutí TDS může být místně provedena sanace podkladních vrstev, zadání se sanací uvažuje ve 2,0% plochy. </w:t>
      </w:r>
    </w:p>
    <w:p w:rsidR="00295631" w:rsidRPr="00295631" w:rsidRDefault="00295631" w:rsidP="00295631">
      <w:pPr>
        <w:pStyle w:val="Default"/>
        <w:rPr>
          <w:b/>
          <w:sz w:val="20"/>
          <w:szCs w:val="20"/>
          <w:u w:val="single"/>
        </w:rPr>
      </w:pP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lastRenderedPageBreak/>
        <w:t xml:space="preserve">Asfaltový beton pro obrusné vrstvy </w:t>
      </w:r>
      <w:r w:rsidRPr="00295631">
        <w:rPr>
          <w:sz w:val="20"/>
          <w:szCs w:val="20"/>
        </w:rPr>
        <w:tab/>
        <w:t xml:space="preserve">ACO 11+ </w:t>
      </w:r>
      <w:r w:rsidRPr="00295631">
        <w:rPr>
          <w:sz w:val="20"/>
          <w:szCs w:val="20"/>
        </w:rPr>
        <w:tab/>
        <w:t xml:space="preserve">50 mm </w:t>
      </w:r>
      <w:r w:rsidRPr="00295631">
        <w:rPr>
          <w:sz w:val="20"/>
          <w:szCs w:val="20"/>
        </w:rPr>
        <w:tab/>
        <w:t xml:space="preserve">ČSN EN 13108-1 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t>Spojovací postřik z asfaltové emulze</w:t>
      </w:r>
      <w:r w:rsidRPr="00295631">
        <w:rPr>
          <w:sz w:val="20"/>
          <w:szCs w:val="20"/>
        </w:rPr>
        <w:tab/>
        <w:t>PS-E</w:t>
      </w:r>
      <w:r w:rsidRPr="00295631">
        <w:rPr>
          <w:sz w:val="20"/>
          <w:szCs w:val="20"/>
        </w:rPr>
        <w:tab/>
        <w:t xml:space="preserve">0,5 kg/m2 </w:t>
      </w:r>
      <w:r w:rsidRPr="00295631">
        <w:rPr>
          <w:sz w:val="20"/>
          <w:szCs w:val="20"/>
        </w:rPr>
        <w:tab/>
        <w:t>ČSN 73 6129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t xml:space="preserve">Asfaltový beton pro ložné vrstvy </w:t>
      </w:r>
      <w:r w:rsidRPr="00295631">
        <w:rPr>
          <w:sz w:val="20"/>
          <w:szCs w:val="20"/>
        </w:rPr>
        <w:tab/>
        <w:t xml:space="preserve">ACL 16+ </w:t>
      </w:r>
      <w:r w:rsidRPr="00295631">
        <w:rPr>
          <w:sz w:val="20"/>
          <w:szCs w:val="20"/>
        </w:rPr>
        <w:tab/>
        <w:t xml:space="preserve">50 mm </w:t>
      </w:r>
      <w:r w:rsidRPr="00295631">
        <w:rPr>
          <w:sz w:val="20"/>
          <w:szCs w:val="20"/>
        </w:rPr>
        <w:tab/>
        <w:t xml:space="preserve">ČSN EN 13108-1 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t>Spojovací postřik z asfaltové emulze</w:t>
      </w:r>
      <w:r w:rsidRPr="00295631">
        <w:rPr>
          <w:sz w:val="20"/>
          <w:szCs w:val="20"/>
        </w:rPr>
        <w:tab/>
        <w:t>PS-E</w:t>
      </w:r>
      <w:r w:rsidRPr="00295631">
        <w:rPr>
          <w:sz w:val="20"/>
          <w:szCs w:val="20"/>
        </w:rPr>
        <w:tab/>
        <w:t xml:space="preserve">0,5 kg/m2 </w:t>
      </w:r>
      <w:r w:rsidRPr="00295631">
        <w:rPr>
          <w:sz w:val="20"/>
          <w:szCs w:val="20"/>
        </w:rPr>
        <w:tab/>
        <w:t>ČSN 73 6129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bCs/>
          <w:color w:val="auto"/>
          <w:sz w:val="20"/>
          <w:szCs w:val="20"/>
          <w:lang w:eastAsia="en-US"/>
        </w:rPr>
      </w:pPr>
      <w:r w:rsidRPr="00295631">
        <w:rPr>
          <w:bCs/>
          <w:color w:val="auto"/>
          <w:sz w:val="20"/>
          <w:szCs w:val="20"/>
          <w:lang w:eastAsia="en-US"/>
        </w:rPr>
        <w:t xml:space="preserve">Stmelená směs                                                                       SC 8/10 </w:t>
      </w:r>
      <w:r w:rsidRPr="00295631">
        <w:rPr>
          <w:bCs/>
          <w:color w:val="auto"/>
          <w:sz w:val="20"/>
          <w:szCs w:val="20"/>
          <w:lang w:eastAsia="en-US"/>
        </w:rPr>
        <w:tab/>
        <w:t xml:space="preserve">150 mm       ČSN 73 6124 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t>Štěrkodrť                                                                               ŠD</w:t>
      </w:r>
      <w:r w:rsidRPr="00295631">
        <w:rPr>
          <w:sz w:val="20"/>
          <w:szCs w:val="20"/>
          <w:vertAlign w:val="subscript"/>
        </w:rPr>
        <w:t>A</w:t>
      </w:r>
      <w:r w:rsidRPr="00295631">
        <w:rPr>
          <w:sz w:val="20"/>
          <w:szCs w:val="20"/>
        </w:rPr>
        <w:t>0/32     250 mm    ČSN EN 13 108-1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t>Štěrkodrť                                                                               ŠD</w:t>
      </w:r>
      <w:r w:rsidRPr="00295631">
        <w:rPr>
          <w:sz w:val="20"/>
          <w:szCs w:val="20"/>
          <w:vertAlign w:val="subscript"/>
        </w:rPr>
        <w:t>A</w:t>
      </w:r>
      <w:r w:rsidRPr="00295631">
        <w:rPr>
          <w:sz w:val="20"/>
          <w:szCs w:val="20"/>
        </w:rPr>
        <w:t>0/63     200 mm    ČSN EN 13 108-1</w:t>
      </w:r>
    </w:p>
    <w:p w:rsidR="00295631" w:rsidRPr="00295631" w:rsidRDefault="00295631" w:rsidP="00295631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95631">
        <w:rPr>
          <w:sz w:val="20"/>
          <w:szCs w:val="20"/>
        </w:rPr>
        <w:t xml:space="preserve">Frézování                                                                                                  100 mm     </w:t>
      </w:r>
    </w:p>
    <w:p w:rsidR="00295631" w:rsidRPr="00295631" w:rsidRDefault="00295631" w:rsidP="00295631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95631">
        <w:rPr>
          <w:rFonts w:ascii="Arial" w:hAnsi="Arial" w:cs="Arial"/>
          <w:bCs/>
          <w:sz w:val="20"/>
          <w:szCs w:val="20"/>
        </w:rPr>
        <w:t>Odkop pro sanace                                                                                     600 mm</w:t>
      </w:r>
    </w:p>
    <w:p w:rsidR="00295631" w:rsidRPr="00295631" w:rsidRDefault="00295631" w:rsidP="00295631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295631" w:rsidRPr="00295631" w:rsidRDefault="00295631" w:rsidP="00295631">
      <w:pPr>
        <w:tabs>
          <w:tab w:val="left" w:pos="6237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95631">
        <w:rPr>
          <w:rFonts w:ascii="Arial" w:hAnsi="Arial" w:cs="Arial"/>
          <w:b/>
          <w:sz w:val="20"/>
          <w:szCs w:val="20"/>
        </w:rPr>
        <w:t>Odvodnění komunikace:</w:t>
      </w:r>
    </w:p>
    <w:p w:rsidR="00295631" w:rsidRPr="00295631" w:rsidRDefault="00295631" w:rsidP="0029563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sz w:val="20"/>
          <w:szCs w:val="20"/>
          <w:lang w:eastAsia="cs-CZ"/>
        </w:rPr>
        <w:t>Odvodnění silnice bude zachováno stávající. Silnice bude odvodněna příčným a podélným sklonem na terén a do stávajících podélných příkopů, které budou v nezbytné míře upraveny.</w:t>
      </w:r>
    </w:p>
    <w:p w:rsidR="00295631" w:rsidRPr="00295631" w:rsidRDefault="00295631" w:rsidP="0029563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p w:rsidR="00295631" w:rsidRPr="00295631" w:rsidRDefault="00295631" w:rsidP="00295631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b/>
          <w:sz w:val="20"/>
          <w:szCs w:val="20"/>
          <w:lang w:eastAsia="cs-CZ"/>
        </w:rPr>
        <w:t>Vodorovné dopravní značení:</w:t>
      </w:r>
    </w:p>
    <w:p w:rsidR="00295631" w:rsidRPr="00295631" w:rsidRDefault="00295631" w:rsidP="0029563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sz w:val="20"/>
          <w:szCs w:val="20"/>
          <w:lang w:eastAsia="cs-CZ"/>
        </w:rPr>
        <w:t>Vodorovného dopravní značení bude provedeno v plastu – vodící proužky, středová čára, autobusová zastávka a bude obnoveno vyznačení přechodu pro chodce.</w:t>
      </w:r>
    </w:p>
    <w:p w:rsidR="00295631" w:rsidRPr="00295631" w:rsidRDefault="00295631" w:rsidP="0029563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95631" w:rsidRPr="00295631" w:rsidRDefault="00295631" w:rsidP="00295631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b/>
          <w:sz w:val="20"/>
          <w:szCs w:val="20"/>
          <w:lang w:eastAsia="cs-CZ"/>
        </w:rPr>
        <w:t>Svislé dopravní značení:</w:t>
      </w:r>
    </w:p>
    <w:p w:rsidR="00295631" w:rsidRPr="00295631" w:rsidRDefault="00295631" w:rsidP="0029563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sz w:val="20"/>
          <w:szCs w:val="20"/>
          <w:lang w:eastAsia="cs-CZ"/>
        </w:rPr>
        <w:t xml:space="preserve">Svislé dopravní značení bude zachováno stávající. </w:t>
      </w:r>
    </w:p>
    <w:p w:rsidR="00295631" w:rsidRPr="00295631" w:rsidRDefault="00295631" w:rsidP="00295631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295631" w:rsidRPr="00295631" w:rsidRDefault="00295631" w:rsidP="00295631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b/>
          <w:sz w:val="20"/>
          <w:szCs w:val="20"/>
          <w:lang w:eastAsia="cs-CZ"/>
        </w:rPr>
        <w:t>Dopravně inženýrská opatření (DIO) – součást SO 800</w:t>
      </w:r>
    </w:p>
    <w:p w:rsidR="00295631" w:rsidRPr="00295631" w:rsidRDefault="00295631" w:rsidP="0029563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sz w:val="20"/>
          <w:szCs w:val="20"/>
          <w:lang w:eastAsia="cs-CZ"/>
        </w:rPr>
        <w:t>Návrh dopravních opatření je součástí dodavatelských činnosti zhotovitele stavby. Konkrétní postup prací včetně časového harmonogramu a podrobného návrhu DIO bude součástí dokumentace zhotovitele. Návrh dopravních opatření bude v souladu s TP 66. Současně je však třeba zajistit přístup na sousední pozemky zajištěním přístupu pro pěší a zachováním možností příjezdu vozidel IZS.</w:t>
      </w:r>
    </w:p>
    <w:p w:rsidR="00295631" w:rsidRPr="00295631" w:rsidRDefault="00295631" w:rsidP="002956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631">
        <w:rPr>
          <w:rFonts w:ascii="Arial" w:hAnsi="Arial" w:cs="Arial"/>
          <w:sz w:val="20"/>
          <w:szCs w:val="20"/>
        </w:rPr>
        <w:t xml:space="preserve">Stavba bude prováděna za úplného vyloučení provozu v jedné etapě. </w:t>
      </w:r>
    </w:p>
    <w:p w:rsidR="00295631" w:rsidRPr="00295631" w:rsidRDefault="00295631" w:rsidP="00295631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</w:p>
    <w:p w:rsidR="00295631" w:rsidRPr="00295631" w:rsidRDefault="00295631" w:rsidP="00295631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Zadávací podklady</w:t>
      </w:r>
    </w:p>
    <w:p w:rsidR="00295631" w:rsidRPr="00295631" w:rsidRDefault="00295631" w:rsidP="00295631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</w:p>
    <w:p w:rsidR="00295631" w:rsidRPr="00295631" w:rsidRDefault="00295631" w:rsidP="0029563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95631">
        <w:rPr>
          <w:rFonts w:ascii="Arial" w:eastAsia="Times New Roman" w:hAnsi="Arial" w:cs="Arial"/>
          <w:sz w:val="20"/>
          <w:szCs w:val="20"/>
          <w:lang w:eastAsia="cs-CZ"/>
        </w:rPr>
        <w:t>Požadavky na opravu silnice jsou specifikovány v Technických podmínkách a zadávacím Výkazu výměr zpracovaných zadavatelem.</w:t>
      </w:r>
    </w:p>
    <w:p w:rsidR="00295631" w:rsidRPr="00295631" w:rsidRDefault="00295631" w:rsidP="00295631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295631" w:rsidRPr="00295631" w:rsidRDefault="00295631" w:rsidP="00295631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bookmarkStart w:id="0" w:name="_GoBack"/>
      <w:bookmarkEnd w:id="0"/>
    </w:p>
    <w:sectPr w:rsidR="00295631" w:rsidRPr="00295631" w:rsidSect="00470717">
      <w:headerReference w:type="default" r:id="rId7"/>
      <w:footerReference w:type="default" r:id="rId8"/>
      <w:pgSz w:w="11906" w:h="16838"/>
      <w:pgMar w:top="1135" w:right="1133" w:bottom="1135" w:left="1417" w:header="851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007767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007767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3D30"/>
    <w:multiLevelType w:val="hybridMultilevel"/>
    <w:tmpl w:val="66CE58B0"/>
    <w:lvl w:ilvl="0" w:tplc="50BEF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03E37"/>
    <w:multiLevelType w:val="hybridMultilevel"/>
    <w:tmpl w:val="6B865E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64DB8"/>
    <w:multiLevelType w:val="hybridMultilevel"/>
    <w:tmpl w:val="529A48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0"/>
  </w:num>
  <w:num w:numId="15">
    <w:abstractNumId w:val="17"/>
  </w:num>
  <w:num w:numId="16">
    <w:abstractNumId w:val="3"/>
  </w:num>
  <w:num w:numId="17">
    <w:abstractNumId w:val="8"/>
  </w:num>
  <w:num w:numId="18">
    <w:abstractNumId w:val="21"/>
  </w:num>
  <w:num w:numId="19">
    <w:abstractNumId w:val="16"/>
  </w:num>
  <w:num w:numId="20">
    <w:abstractNumId w:val="15"/>
  </w:num>
  <w:num w:numId="21">
    <w:abstractNumId w:val="2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07767"/>
    <w:rsid w:val="00031B59"/>
    <w:rsid w:val="00033EC2"/>
    <w:rsid w:val="00077603"/>
    <w:rsid w:val="00091A0B"/>
    <w:rsid w:val="00092607"/>
    <w:rsid w:val="00105330"/>
    <w:rsid w:val="00114595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E7FFB"/>
    <w:rsid w:val="001F1E8D"/>
    <w:rsid w:val="00201C8A"/>
    <w:rsid w:val="00206A81"/>
    <w:rsid w:val="0021028E"/>
    <w:rsid w:val="00227F69"/>
    <w:rsid w:val="00245CC3"/>
    <w:rsid w:val="0024717C"/>
    <w:rsid w:val="002505CD"/>
    <w:rsid w:val="002819DD"/>
    <w:rsid w:val="00294439"/>
    <w:rsid w:val="00295631"/>
    <w:rsid w:val="002A2808"/>
    <w:rsid w:val="002A70F8"/>
    <w:rsid w:val="002D116F"/>
    <w:rsid w:val="002D2AC8"/>
    <w:rsid w:val="00322187"/>
    <w:rsid w:val="00335791"/>
    <w:rsid w:val="003634A2"/>
    <w:rsid w:val="00396144"/>
    <w:rsid w:val="003A6635"/>
    <w:rsid w:val="003B523E"/>
    <w:rsid w:val="003C0016"/>
    <w:rsid w:val="003D36F1"/>
    <w:rsid w:val="003E2FB5"/>
    <w:rsid w:val="00405F21"/>
    <w:rsid w:val="00413BFA"/>
    <w:rsid w:val="0043662A"/>
    <w:rsid w:val="00437E4E"/>
    <w:rsid w:val="00470717"/>
    <w:rsid w:val="00487EB6"/>
    <w:rsid w:val="004932D4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0599B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924B1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66055"/>
    <w:rsid w:val="00972FC3"/>
    <w:rsid w:val="00981014"/>
    <w:rsid w:val="00997EA5"/>
    <w:rsid w:val="009A6C3A"/>
    <w:rsid w:val="009B0C47"/>
    <w:rsid w:val="009B37C8"/>
    <w:rsid w:val="009E5449"/>
    <w:rsid w:val="00A02A92"/>
    <w:rsid w:val="00A02C1A"/>
    <w:rsid w:val="00A10298"/>
    <w:rsid w:val="00A111D2"/>
    <w:rsid w:val="00A258B6"/>
    <w:rsid w:val="00A44DF5"/>
    <w:rsid w:val="00A91C46"/>
    <w:rsid w:val="00A93CA0"/>
    <w:rsid w:val="00AA21EC"/>
    <w:rsid w:val="00AA42F6"/>
    <w:rsid w:val="00AA76D7"/>
    <w:rsid w:val="00AB286A"/>
    <w:rsid w:val="00AB5F37"/>
    <w:rsid w:val="00AC2793"/>
    <w:rsid w:val="00AF2EBE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37B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E02F34"/>
    <w:rsid w:val="00E12753"/>
    <w:rsid w:val="00E173D4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FE19303-B28F-4471-B9A7-E8D55E0E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Nadpis1">
    <w:name w:val="Nadpis #1_"/>
    <w:basedOn w:val="Standardnpsmoodstavce"/>
    <w:link w:val="Nadpis10"/>
    <w:rsid w:val="004932D4"/>
    <w:rPr>
      <w:rFonts w:ascii="Arial" w:eastAsia="Arial" w:hAnsi="Arial" w:cs="Arial"/>
      <w:b/>
      <w:bCs/>
      <w:shd w:val="clear" w:color="auto" w:fill="FFFFFF"/>
    </w:rPr>
  </w:style>
  <w:style w:type="paragraph" w:customStyle="1" w:styleId="Nadpis10">
    <w:name w:val="Nadpis #1"/>
    <w:basedOn w:val="Normln"/>
    <w:link w:val="Nadpis1"/>
    <w:rsid w:val="004932D4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609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40</cp:revision>
  <cp:lastPrinted>2024-05-07T05:36:00Z</cp:lastPrinted>
  <dcterms:created xsi:type="dcterms:W3CDTF">2020-01-14T13:40:00Z</dcterms:created>
  <dcterms:modified xsi:type="dcterms:W3CDTF">2025-04-30T07:35:00Z</dcterms:modified>
</cp:coreProperties>
</file>